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8DEF" w14:textId="77777777" w:rsidR="00D079BC" w:rsidRDefault="00D079BC" w:rsidP="00D079BC">
      <w:pPr>
        <w:spacing w:before="240" w:after="240"/>
      </w:pPr>
      <w:r>
        <w:rPr>
          <w:b/>
          <w:bCs/>
        </w:rPr>
        <w:t xml:space="preserve">Subject: </w:t>
      </w:r>
      <w:r>
        <w:t>Formal Comment Regarding Proposed Graduate and Professional Student Loan Limits (RISE Negotiated Rulemaking)</w:t>
      </w:r>
    </w:p>
    <w:p w14:paraId="6F60EAC7" w14:textId="77777777" w:rsidR="00D079BC" w:rsidRDefault="00D079BC" w:rsidP="00D079BC">
      <w:pPr>
        <w:spacing w:before="240" w:after="240"/>
      </w:pPr>
      <w:r>
        <w:t>To the U.S. Department of Education,</w:t>
      </w:r>
    </w:p>
    <w:p w14:paraId="741BD624" w14:textId="77777777" w:rsidR="00D079BC" w:rsidRDefault="00D079BC" w:rsidP="00D079BC">
      <w:pPr>
        <w:spacing w:before="240" w:after="240"/>
      </w:pPr>
      <w:r>
        <w:t>The [</w:t>
      </w:r>
      <w:r w:rsidRPr="00D079BC">
        <w:rPr>
          <w:highlight w:val="yellow"/>
        </w:rPr>
        <w:t>Organization Name/Individual Name</w:t>
      </w:r>
      <w:r>
        <w:t>] submits this formal comment regarding the potential establishment of new annual and aggregate loan limits for graduate and professional students, as considered during the Reimagining and Improving Student Education (RISE) Negotiated Rulemaking sessions. We are deeply concerned that the current proposed structure for these limits will create significant, detrimental impacts on health equity, workforce diversity, and the sustainability of service-oriented care in the United States, particularly within the field of dentistry.</w:t>
      </w:r>
    </w:p>
    <w:p w14:paraId="6AF31B09" w14:textId="77777777" w:rsidR="00D079BC" w:rsidRDefault="00D079BC" w:rsidP="00D079BC">
      <w:pPr>
        <w:pStyle w:val="Heading3"/>
        <w:keepNext w:val="0"/>
        <w:keepLines w:val="0"/>
        <w:spacing w:before="280"/>
        <w:rPr>
          <w:b/>
          <w:bCs/>
          <w:color w:val="000000"/>
          <w:sz w:val="26"/>
          <w:szCs w:val="26"/>
        </w:rPr>
      </w:pPr>
      <w:bookmarkStart w:id="0" w:name="_9x8q69w4npnj" w:colFirst="0" w:colLast="0"/>
      <w:bookmarkEnd w:id="0"/>
      <w:r>
        <w:rPr>
          <w:b/>
          <w:bCs/>
          <w:color w:val="000000"/>
          <w:sz w:val="26"/>
          <w:szCs w:val="26"/>
        </w:rPr>
        <w:t>I. The Policy Threatens Economic Diversity and Access</w:t>
      </w:r>
    </w:p>
    <w:p w14:paraId="0B612122" w14:textId="77777777" w:rsidR="00D079BC" w:rsidRDefault="00D079BC" w:rsidP="00D079BC">
      <w:pPr>
        <w:spacing w:before="240" w:after="240"/>
      </w:pPr>
      <w:r>
        <w:t xml:space="preserve">The average dental </w:t>
      </w:r>
      <w:proofErr w:type="gramStart"/>
      <w:r>
        <w:t>student</w:t>
      </w:r>
      <w:proofErr w:type="gramEnd"/>
      <w:r>
        <w:t xml:space="preserve"> debt exceeds $300,000. For students from low-income, first-generation, and historically marginalized </w:t>
      </w:r>
      <w:proofErr w:type="gramStart"/>
      <w:r>
        <w:t>backgrounds—</w:t>
      </w:r>
      <w:proofErr w:type="gramEnd"/>
      <w:r>
        <w:t xml:space="preserve">for whom federal loans represent the sole pathway to finance a dental </w:t>
      </w:r>
      <w:proofErr w:type="gramStart"/>
      <w:r>
        <w:t>degree—a</w:t>
      </w:r>
      <w:proofErr w:type="gramEnd"/>
      <w:r>
        <w:t xml:space="preserve"> loan cap below the full cost of attendance (COA) is an insurmountable barrier.</w:t>
      </w:r>
    </w:p>
    <w:p w14:paraId="2840C861" w14:textId="77777777" w:rsidR="00D079BC" w:rsidRDefault="00D079BC" w:rsidP="00D079BC">
      <w:pPr>
        <w:numPr>
          <w:ilvl w:val="0"/>
          <w:numId w:val="2"/>
        </w:numPr>
        <w:spacing w:before="240"/>
      </w:pPr>
      <w:r>
        <w:rPr>
          <w:b/>
          <w:bCs/>
        </w:rPr>
        <w:t>Filtering by Wealth:</w:t>
      </w:r>
      <w:r>
        <w:t xml:space="preserve"> By forcing students to secure the shortfall through high-interest private loans, the proposed caps utilize credit history and generational wealth as prerequisites for entry into the profession, turning financing into an </w:t>
      </w:r>
      <w:r>
        <w:rPr>
          <w:i/>
          <w:iCs/>
        </w:rPr>
        <w:t>equity filter</w:t>
      </w:r>
      <w:r>
        <w:t>.</w:t>
      </w:r>
    </w:p>
    <w:p w14:paraId="5853FF76" w14:textId="77777777" w:rsidR="00D079BC" w:rsidRDefault="00D079BC" w:rsidP="00D079BC">
      <w:pPr>
        <w:numPr>
          <w:ilvl w:val="0"/>
          <w:numId w:val="2"/>
        </w:numPr>
        <w:spacing w:after="240"/>
      </w:pPr>
      <w:r>
        <w:rPr>
          <w:b/>
          <w:bCs/>
        </w:rPr>
        <w:t xml:space="preserve">Inequitable Opportunity: </w:t>
      </w:r>
      <w:r>
        <w:t>This action risks creating a skewed dental workforce: one accessible to students with financial resources, and closed to talented, mission-driven students who lack them. This outcome will reverse years of progress toward workforce diversity.</w:t>
      </w:r>
    </w:p>
    <w:p w14:paraId="297C43FC" w14:textId="77777777" w:rsidR="00D079BC" w:rsidRDefault="00D079BC" w:rsidP="00D079BC">
      <w:pPr>
        <w:pStyle w:val="Heading3"/>
        <w:keepNext w:val="0"/>
        <w:keepLines w:val="0"/>
        <w:spacing w:before="280"/>
        <w:rPr>
          <w:b/>
          <w:bCs/>
          <w:color w:val="000000"/>
          <w:sz w:val="26"/>
          <w:szCs w:val="26"/>
        </w:rPr>
      </w:pPr>
      <w:bookmarkStart w:id="1" w:name="_s961soyvr519" w:colFirst="0" w:colLast="0"/>
      <w:bookmarkEnd w:id="1"/>
      <w:r>
        <w:rPr>
          <w:b/>
          <w:bCs/>
          <w:color w:val="000000"/>
          <w:sz w:val="26"/>
          <w:szCs w:val="26"/>
        </w:rPr>
        <w:t>II. Disincentivizing Public Service and Community Care</w:t>
      </w:r>
    </w:p>
    <w:p w14:paraId="1F48E687" w14:textId="77777777" w:rsidR="00D079BC" w:rsidRDefault="00D079BC" w:rsidP="00D079BC">
      <w:pPr>
        <w:spacing w:before="240" w:after="240"/>
      </w:pPr>
      <w:r>
        <w:t>The most acute consequence of this policy is its direct threat to the federally supported public service pathway. Students who take on private loans to cover the cost of attendance (COA) gap are typically ineligible for, or disincentivized from pursuing, crucial federal service-based forgiveness programs:</w:t>
      </w:r>
    </w:p>
    <w:p w14:paraId="4AC08390" w14:textId="77777777" w:rsidR="00D079BC" w:rsidRDefault="00D079BC" w:rsidP="00D079BC">
      <w:pPr>
        <w:numPr>
          <w:ilvl w:val="0"/>
          <w:numId w:val="3"/>
        </w:numPr>
        <w:spacing w:before="240"/>
      </w:pPr>
      <w:r>
        <w:rPr>
          <w:b/>
          <w:bCs/>
        </w:rPr>
        <w:t xml:space="preserve">Public Service Loan Forgiveness (PSLF): </w:t>
      </w:r>
      <w:r>
        <w:t>Reliance on non-eligible private loans removes the financial stability needed for providers to commit ten years to public or non-profit service settings (e.g., Federally Qualified Health Centers, VA clinics, academic medicine).</w:t>
      </w:r>
    </w:p>
    <w:p w14:paraId="5683FFD5" w14:textId="77777777" w:rsidR="00D079BC" w:rsidRDefault="00D079BC" w:rsidP="00D079BC">
      <w:pPr>
        <w:numPr>
          <w:ilvl w:val="0"/>
          <w:numId w:val="3"/>
        </w:numPr>
        <w:spacing w:after="240"/>
      </w:pPr>
      <w:r>
        <w:rPr>
          <w:b/>
          <w:bCs/>
        </w:rPr>
        <w:t xml:space="preserve">National Health Service Corps (NHSC): </w:t>
      </w:r>
      <w:r>
        <w:t>Students forced into debt requiring immediate, high-paying repayment will bypass the NHSC, leading to fewer providers in designated rural and underserved areas.</w:t>
      </w:r>
    </w:p>
    <w:p w14:paraId="20FA6406" w14:textId="77777777" w:rsidR="00D079BC" w:rsidRDefault="00D079BC" w:rsidP="00D079BC">
      <w:pPr>
        <w:spacing w:before="240" w:after="240"/>
      </w:pPr>
      <w:r>
        <w:lastRenderedPageBreak/>
        <w:t>The policy will reduce representation in community-based care and severely threaten the sustainability of safety-net dental programs that depend on mission-driven, PSLF-eligible and NHSC providers.</w:t>
      </w:r>
    </w:p>
    <w:p w14:paraId="40DC0542" w14:textId="77777777" w:rsidR="00D079BC" w:rsidRDefault="00D079BC" w:rsidP="00D079BC">
      <w:pPr>
        <w:pStyle w:val="Heading3"/>
        <w:keepNext w:val="0"/>
        <w:keepLines w:val="0"/>
        <w:spacing w:before="280"/>
        <w:rPr>
          <w:b/>
          <w:bCs/>
          <w:color w:val="000000"/>
          <w:sz w:val="26"/>
          <w:szCs w:val="26"/>
        </w:rPr>
      </w:pPr>
      <w:bookmarkStart w:id="2" w:name="_x81k5dg9o9l3" w:colFirst="0" w:colLast="0"/>
      <w:bookmarkEnd w:id="2"/>
      <w:r>
        <w:rPr>
          <w:b/>
          <w:bCs/>
          <w:color w:val="000000"/>
          <w:sz w:val="26"/>
          <w:szCs w:val="26"/>
        </w:rPr>
        <w:t>III. Recommendation for Action</w:t>
      </w:r>
    </w:p>
    <w:p w14:paraId="53C28EF7" w14:textId="77777777" w:rsidR="00D079BC" w:rsidRDefault="00D079BC" w:rsidP="00D079BC">
      <w:pPr>
        <w:spacing w:before="240" w:after="240"/>
      </w:pPr>
      <w:r>
        <w:t>We urge the Department of Education to modify the proposed regulations by taking one of the following actions to protect the public health workforce:</w:t>
      </w:r>
    </w:p>
    <w:p w14:paraId="69F37956" w14:textId="77777777" w:rsidR="00D079BC" w:rsidRDefault="00D079BC" w:rsidP="00D079BC">
      <w:pPr>
        <w:numPr>
          <w:ilvl w:val="0"/>
          <w:numId w:val="1"/>
        </w:numPr>
        <w:spacing w:before="240"/>
      </w:pPr>
      <w:r>
        <w:rPr>
          <w:b/>
          <w:bCs/>
        </w:rPr>
        <w:t>Exempt Health Professional Programs:</w:t>
      </w:r>
      <w:r>
        <w:t xml:space="preserve"> Explicitly exempt accredited dental, medical, and other high-cost health professional degree programs from the new annual and aggregate federal loan caps.</w:t>
      </w:r>
    </w:p>
    <w:p w14:paraId="3C82CFC1" w14:textId="77777777" w:rsidR="00D079BC" w:rsidRDefault="00D079BC" w:rsidP="00D079BC">
      <w:pPr>
        <w:numPr>
          <w:ilvl w:val="0"/>
          <w:numId w:val="1"/>
        </w:numPr>
        <w:spacing w:after="240"/>
      </w:pPr>
      <w:r>
        <w:rPr>
          <w:b/>
          <w:bCs/>
        </w:rPr>
        <w:t>Adjust the Cap to COA:</w:t>
      </w:r>
      <w:r>
        <w:t xml:space="preserve"> Alternatively, ensure that the aggregate cap for professional students is set at a level that meets the </w:t>
      </w:r>
      <w:r>
        <w:rPr>
          <w:i/>
          <w:iCs/>
        </w:rPr>
        <w:t>average</w:t>
      </w:r>
      <w:r>
        <w:t xml:space="preserve"> cost of attendance for dental programs, reflecting the true borrowing needs of students in these essential health fields.</w:t>
      </w:r>
    </w:p>
    <w:p w14:paraId="0168EE18" w14:textId="77777777" w:rsidR="00D079BC" w:rsidRDefault="00D079BC" w:rsidP="00D079BC">
      <w:pPr>
        <w:spacing w:before="240" w:after="240"/>
      </w:pPr>
      <w:r>
        <w:t>We ask the Department to consider the profound, long-term implications of these financial policies on the equitable distribution of oral health providers across the United States.</w:t>
      </w:r>
    </w:p>
    <w:p w14:paraId="3182AD11" w14:textId="77777777" w:rsidR="00D079BC" w:rsidRDefault="00D079BC" w:rsidP="00D079BC">
      <w:pPr>
        <w:spacing w:before="240" w:after="240"/>
      </w:pPr>
      <w:r>
        <w:t>Sincerely,</w:t>
      </w:r>
    </w:p>
    <w:p w14:paraId="6DBB99A3" w14:textId="77777777" w:rsidR="00D079BC" w:rsidRDefault="00D079BC" w:rsidP="00D079BC">
      <w:pPr>
        <w:spacing w:before="240" w:after="240"/>
      </w:pPr>
      <w:r>
        <w:t>[</w:t>
      </w:r>
      <w:r w:rsidRPr="00D079BC">
        <w:rPr>
          <w:highlight w:val="yellow"/>
        </w:rPr>
        <w:t>Your Name / Title</w:t>
      </w:r>
      <w:r>
        <w:t xml:space="preserve">] </w:t>
      </w:r>
    </w:p>
    <w:p w14:paraId="52FE8D3E" w14:textId="216CDAEF" w:rsidR="00D079BC" w:rsidRDefault="00D079BC" w:rsidP="00D079BC">
      <w:pPr>
        <w:spacing w:before="240" w:after="240"/>
      </w:pPr>
      <w:r>
        <w:t>[</w:t>
      </w:r>
      <w:r w:rsidRPr="00D079BC">
        <w:rPr>
          <w:highlight w:val="yellow"/>
        </w:rPr>
        <w:t xml:space="preserve">Your </w:t>
      </w:r>
      <w:proofErr w:type="gramStart"/>
      <w:r w:rsidRPr="00D079BC">
        <w:rPr>
          <w:highlight w:val="yellow"/>
        </w:rPr>
        <w:t>Organization</w:t>
      </w:r>
      <w:proofErr w:type="gramEnd"/>
      <w:r>
        <w:t xml:space="preserve">] </w:t>
      </w:r>
    </w:p>
    <w:p w14:paraId="7D362E4E" w14:textId="5101F41B" w:rsidR="00D079BC" w:rsidRDefault="00D079BC" w:rsidP="00D079BC">
      <w:pPr>
        <w:spacing w:before="240" w:after="240"/>
      </w:pPr>
      <w:r>
        <w:t>[</w:t>
      </w:r>
      <w:r w:rsidRPr="00D079BC">
        <w:rPr>
          <w:highlight w:val="yellow"/>
        </w:rPr>
        <w:t>Contact Email/Phone</w:t>
      </w:r>
      <w:r>
        <w:t>]</w:t>
      </w:r>
    </w:p>
    <w:p w14:paraId="229B5678" w14:textId="77777777" w:rsidR="00D079BC" w:rsidRDefault="00D079BC" w:rsidP="00D079BC"/>
    <w:p w14:paraId="796AC2C6" w14:textId="77777777" w:rsidR="0009507A" w:rsidRDefault="0009507A"/>
    <w:sectPr w:rsidR="0009507A" w:rsidSect="00D079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A2F26"/>
    <w:multiLevelType w:val="multilevel"/>
    <w:tmpl w:val="F7725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3319EA"/>
    <w:multiLevelType w:val="multilevel"/>
    <w:tmpl w:val="A6664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9F1E97"/>
    <w:multiLevelType w:val="multilevel"/>
    <w:tmpl w:val="8D4AC0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02596867">
    <w:abstractNumId w:val="2"/>
  </w:num>
  <w:num w:numId="2" w16cid:durableId="1289120844">
    <w:abstractNumId w:val="1"/>
  </w:num>
  <w:num w:numId="3" w16cid:durableId="136042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BC"/>
    <w:rsid w:val="0009507A"/>
    <w:rsid w:val="00340DC4"/>
    <w:rsid w:val="00416E3D"/>
    <w:rsid w:val="00424295"/>
    <w:rsid w:val="00515E77"/>
    <w:rsid w:val="00785E47"/>
    <w:rsid w:val="00787897"/>
    <w:rsid w:val="00794994"/>
    <w:rsid w:val="00A576F6"/>
    <w:rsid w:val="00C43E03"/>
    <w:rsid w:val="00D0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5A2A"/>
  <w15:chartTrackingRefBased/>
  <w15:docId w15:val="{B8B20547-B118-41B8-85F0-A3C389C3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9B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07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7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9BC"/>
    <w:rPr>
      <w:rFonts w:eastAsiaTheme="majorEastAsia" w:cstheme="majorBidi"/>
      <w:color w:val="272727" w:themeColor="text1" w:themeTint="D8"/>
    </w:rPr>
  </w:style>
  <w:style w:type="paragraph" w:styleId="Title">
    <w:name w:val="Title"/>
    <w:basedOn w:val="Normal"/>
    <w:next w:val="Normal"/>
    <w:link w:val="TitleChar"/>
    <w:uiPriority w:val="10"/>
    <w:qFormat/>
    <w:rsid w:val="00D07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9BC"/>
    <w:pPr>
      <w:spacing w:before="160"/>
      <w:jc w:val="center"/>
    </w:pPr>
    <w:rPr>
      <w:i/>
      <w:iCs/>
      <w:color w:val="404040" w:themeColor="text1" w:themeTint="BF"/>
    </w:rPr>
  </w:style>
  <w:style w:type="character" w:customStyle="1" w:styleId="QuoteChar">
    <w:name w:val="Quote Char"/>
    <w:basedOn w:val="DefaultParagraphFont"/>
    <w:link w:val="Quote"/>
    <w:uiPriority w:val="29"/>
    <w:rsid w:val="00D079BC"/>
    <w:rPr>
      <w:i/>
      <w:iCs/>
      <w:color w:val="404040" w:themeColor="text1" w:themeTint="BF"/>
    </w:rPr>
  </w:style>
  <w:style w:type="paragraph" w:styleId="ListParagraph">
    <w:name w:val="List Paragraph"/>
    <w:basedOn w:val="Normal"/>
    <w:uiPriority w:val="34"/>
    <w:qFormat/>
    <w:rsid w:val="00D079BC"/>
    <w:pPr>
      <w:ind w:left="720"/>
      <w:contextualSpacing/>
    </w:pPr>
  </w:style>
  <w:style w:type="character" w:styleId="IntenseEmphasis">
    <w:name w:val="Intense Emphasis"/>
    <w:basedOn w:val="DefaultParagraphFont"/>
    <w:uiPriority w:val="21"/>
    <w:qFormat/>
    <w:rsid w:val="00D079BC"/>
    <w:rPr>
      <w:i/>
      <w:iCs/>
      <w:color w:val="0F4761" w:themeColor="accent1" w:themeShade="BF"/>
    </w:rPr>
  </w:style>
  <w:style w:type="paragraph" w:styleId="IntenseQuote">
    <w:name w:val="Intense Quote"/>
    <w:basedOn w:val="Normal"/>
    <w:next w:val="Normal"/>
    <w:link w:val="IntenseQuoteChar"/>
    <w:uiPriority w:val="30"/>
    <w:qFormat/>
    <w:rsid w:val="00D07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9BC"/>
    <w:rPr>
      <w:i/>
      <w:iCs/>
      <w:color w:val="0F4761" w:themeColor="accent1" w:themeShade="BF"/>
    </w:rPr>
  </w:style>
  <w:style w:type="character" w:styleId="IntenseReference">
    <w:name w:val="Intense Reference"/>
    <w:basedOn w:val="DefaultParagraphFont"/>
    <w:uiPriority w:val="32"/>
    <w:qFormat/>
    <w:rsid w:val="00D079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Castelaz</dc:creator>
  <cp:keywords/>
  <dc:description/>
  <cp:lastModifiedBy>McAllister Castelaz</cp:lastModifiedBy>
  <cp:revision>1</cp:revision>
  <dcterms:created xsi:type="dcterms:W3CDTF">2025-12-05T20:04:00Z</dcterms:created>
  <dcterms:modified xsi:type="dcterms:W3CDTF">2025-12-05T20:05:00Z</dcterms:modified>
</cp:coreProperties>
</file>